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A" w:rsidRPr="00782310" w:rsidRDefault="00484BCA" w:rsidP="00484BCA">
      <w:pPr>
        <w:rPr>
          <w:b/>
          <w:u w:val="single"/>
        </w:rPr>
      </w:pPr>
      <w:r w:rsidRPr="00782310">
        <w:rPr>
          <w:b/>
          <w:u w:val="single"/>
        </w:rPr>
        <w:t xml:space="preserve">Resource for: </w:t>
      </w:r>
    </w:p>
    <w:p w:rsidR="00484BCA" w:rsidRPr="00744BB7" w:rsidRDefault="00484BCA" w:rsidP="00484BCA">
      <w:pPr>
        <w:rPr>
          <w:b/>
          <w:i/>
        </w:rPr>
      </w:pPr>
      <w:r w:rsidRPr="00744BB7">
        <w:rPr>
          <w:b/>
          <w:i/>
        </w:rPr>
        <w:t>Design and Technologies Processes and Production Skills</w:t>
      </w:r>
    </w:p>
    <w:p w:rsidR="00484BCA" w:rsidRDefault="00484BCA" w:rsidP="00484BCA">
      <w:pPr>
        <w:rPr>
          <w:i/>
        </w:rPr>
      </w:pPr>
      <w:r>
        <w:rPr>
          <w:i/>
        </w:rPr>
        <w:t xml:space="preserve">ACTDEP014 – Critique needs or opportunities for designing and exploring and test a variety of materials, components, tools and equipment and the techniques needed to produce designed solutions </w:t>
      </w:r>
    </w:p>
    <w:p w:rsidR="00484BCA" w:rsidRDefault="00484BCA" w:rsidP="00484BCA">
      <w:pPr>
        <w:pStyle w:val="ListParagraph"/>
        <w:numPr>
          <w:ilvl w:val="0"/>
          <w:numId w:val="2"/>
        </w:numPr>
        <w:rPr>
          <w:i/>
        </w:rPr>
      </w:pPr>
      <w:r w:rsidRPr="00744BB7">
        <w:rPr>
          <w:i/>
        </w:rPr>
        <w:t>Exploring the properties of materials to determine suitability, for example the absorbency of different fabrics or the strength of different resistant materials</w:t>
      </w:r>
    </w:p>
    <w:p w:rsidR="00484BCA" w:rsidRDefault="00484BCA" w:rsidP="00484BCA"/>
    <w:p w:rsidR="00484BCA" w:rsidRDefault="00484BCA" w:rsidP="00484BCA">
      <w:pPr>
        <w:pStyle w:val="ListParagraph"/>
        <w:numPr>
          <w:ilvl w:val="0"/>
          <w:numId w:val="3"/>
        </w:numPr>
      </w:pPr>
      <w:r>
        <w:t>The Big Question: WHAT DOES LIFECYCLE OF MATERIALS MEAN?</w:t>
      </w:r>
    </w:p>
    <w:p w:rsidR="00484BCA" w:rsidRDefault="00484BCA" w:rsidP="00484BCA"/>
    <w:p w:rsidR="00484BCA" w:rsidRDefault="00484BCA" w:rsidP="00484BCA">
      <w:pPr>
        <w:pStyle w:val="ListParagraph"/>
        <w:numPr>
          <w:ilvl w:val="0"/>
          <w:numId w:val="3"/>
        </w:numPr>
      </w:pPr>
      <w:r>
        <w:t>Prior learning: understand properties of recyclable materials</w:t>
      </w:r>
    </w:p>
    <w:p w:rsidR="00484BCA" w:rsidRDefault="00484BCA" w:rsidP="00484BCA">
      <w:pPr>
        <w:pStyle w:val="ListParagraph"/>
      </w:pPr>
    </w:p>
    <w:p w:rsidR="00484BCA" w:rsidRDefault="00484BCA" w:rsidP="00484BCA">
      <w:pPr>
        <w:pStyle w:val="ListParagraph"/>
        <w:numPr>
          <w:ilvl w:val="0"/>
          <w:numId w:val="3"/>
        </w:numPr>
      </w:pPr>
      <w:r>
        <w:t>Students undertake several tests of different materials to determine suitability for structures against erosion, weather</w:t>
      </w:r>
    </w:p>
    <w:p w:rsidR="00484BCA" w:rsidRDefault="00484BCA" w:rsidP="00484BCA">
      <w:pPr>
        <w:pStyle w:val="ListParagraph"/>
        <w:numPr>
          <w:ilvl w:val="1"/>
          <w:numId w:val="3"/>
        </w:numPr>
      </w:pPr>
      <w:r w:rsidRPr="000D68EE">
        <w:rPr>
          <w:b/>
        </w:rPr>
        <w:t>Using paper/cardboard origami</w:t>
      </w:r>
      <w:r>
        <w:t xml:space="preserve"> (Jonathan Baxter – Hands on Maths) to create shapes (</w:t>
      </w:r>
      <w:r w:rsidRPr="002731B2">
        <w:rPr>
          <w:highlight w:val="yellow"/>
        </w:rPr>
        <w:t>Mathematics</w:t>
      </w:r>
      <w:r>
        <w:t xml:space="preserve">/geometrics). Simulated weather tests involve using shower head hose (rain), crushed ice (heavy snow), </w:t>
      </w:r>
      <w:proofErr w:type="gramStart"/>
      <w:r>
        <w:t>hair</w:t>
      </w:r>
      <w:proofErr w:type="gramEnd"/>
      <w:r>
        <w:t xml:space="preserve"> dryer/fan (wind), heat fan (sun). Which shape holds up greater under these extremes (</w:t>
      </w:r>
      <w:r w:rsidRPr="002731B2">
        <w:rPr>
          <w:highlight w:val="yellow"/>
        </w:rPr>
        <w:t>Science</w:t>
      </w:r>
      <w:r>
        <w:t>)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water run-off (rain water harvesting designs) (</w:t>
      </w:r>
      <w:r w:rsidRPr="002731B2">
        <w:rPr>
          <w:highlight w:val="yellow"/>
        </w:rPr>
        <w:t>Sustainability</w:t>
      </w:r>
      <w:r>
        <w:t>)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structural integrity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 xml:space="preserve">Look at different building structures around the world and how they differ according to their environment – question, are they reusable/ recyclable? </w:t>
      </w:r>
    </w:p>
    <w:p w:rsidR="00484BCA" w:rsidRDefault="00484BCA" w:rsidP="00484BCA">
      <w:pPr>
        <w:pStyle w:val="ListParagraph"/>
        <w:numPr>
          <w:ilvl w:val="1"/>
          <w:numId w:val="3"/>
        </w:numPr>
      </w:pPr>
      <w:r w:rsidRPr="000D68EE">
        <w:rPr>
          <w:b/>
        </w:rPr>
        <w:t xml:space="preserve">Look at clip : </w:t>
      </w:r>
      <w:hyperlink r:id="rId6" w:history="1"/>
      <w:r w:rsidRPr="000D68EE">
        <w:rPr>
          <w:b/>
        </w:rPr>
        <w:t xml:space="preserve"> </w:t>
      </w:r>
      <w:hyperlink r:id="rId7" w:history="1">
        <w:r w:rsidRPr="00960B0A">
          <w:rPr>
            <w:rStyle w:val="Hyperlink"/>
          </w:rPr>
          <w:t>https://youtu.be/1bHdzTUNw-4</w:t>
        </w:r>
      </w:hyperlink>
      <w:r>
        <w:t xml:space="preserve"> (</w:t>
      </w:r>
      <w:r w:rsidRPr="003D4615">
        <w:rPr>
          <w:highlight w:val="yellow"/>
        </w:rPr>
        <w:t>English)</w:t>
      </w:r>
      <w:r>
        <w:t xml:space="preserve"> </w:t>
      </w:r>
    </w:p>
    <w:p w:rsidR="00484BCA" w:rsidRDefault="00484BCA" w:rsidP="00484BCA">
      <w:pPr>
        <w:pStyle w:val="ListParagraph"/>
        <w:numPr>
          <w:ilvl w:val="1"/>
          <w:numId w:val="3"/>
        </w:numPr>
      </w:pPr>
      <w:r w:rsidRPr="000D68EE">
        <w:rPr>
          <w:b/>
        </w:rPr>
        <w:t>Review book</w:t>
      </w:r>
      <w:r>
        <w:t xml:space="preserve"> “The Lorax” looking at character </w:t>
      </w:r>
      <w:proofErr w:type="spellStart"/>
      <w:r>
        <w:t>Thneed</w:t>
      </w:r>
      <w:proofErr w:type="spellEnd"/>
      <w:r>
        <w:t xml:space="preserve"> (</w:t>
      </w:r>
      <w:r w:rsidRPr="002E4E08">
        <w:rPr>
          <w:highlight w:val="yellow"/>
        </w:rPr>
        <w:t>English</w:t>
      </w:r>
      <w:r>
        <w:t>)</w:t>
      </w:r>
    </w:p>
    <w:p w:rsidR="00484BCA" w:rsidRDefault="00484BCA" w:rsidP="00484BCA">
      <w:pPr>
        <w:pStyle w:val="ListParagraph"/>
        <w:numPr>
          <w:ilvl w:val="1"/>
          <w:numId w:val="3"/>
        </w:numPr>
      </w:pPr>
      <w:r w:rsidRPr="000D68EE">
        <w:rPr>
          <w:b/>
        </w:rPr>
        <w:t>Look at clip</w:t>
      </w:r>
      <w:r>
        <w:t xml:space="preserve"> : </w:t>
      </w:r>
      <w:hyperlink r:id="rId8" w:history="1">
        <w:r w:rsidRPr="00960B0A">
          <w:rPr>
            <w:rStyle w:val="Hyperlink"/>
          </w:rPr>
          <w:t>https://youtu.be/XAYG_jlybGE</w:t>
        </w:r>
      </w:hyperlink>
      <w:r>
        <w:t xml:space="preserve"> (</w:t>
      </w:r>
      <w:r w:rsidRPr="003D4615">
        <w:rPr>
          <w:highlight w:val="yellow"/>
        </w:rPr>
        <w:t>English)</w:t>
      </w:r>
    </w:p>
    <w:p w:rsidR="00484BCA" w:rsidRDefault="00484BCA" w:rsidP="00484BCA">
      <w:pPr>
        <w:pStyle w:val="ListParagraph"/>
        <w:numPr>
          <w:ilvl w:val="1"/>
          <w:numId w:val="3"/>
        </w:numPr>
      </w:pPr>
      <w:r>
        <w:t xml:space="preserve">Using different materials to determine suitability. Simulated testing </w:t>
      </w:r>
      <w:proofErr w:type="gramStart"/>
      <w:r>
        <w:t>involve</w:t>
      </w:r>
      <w:proofErr w:type="gramEnd"/>
      <w:r>
        <w:t xml:space="preserve"> handling different materials (wool, cotton, synthetics, wood, bamboo, glass, plastic, metal, silk, cardboard, paper, straw, bubble wrap. Tests involve using shower head hose (rain), crushed ice (heavy snow), hair dryer/fan (wind), heat fan (sun) exposed on the materials for set amount of time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 xml:space="preserve">Look at strength, flexibility, porousness 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reusing the material/ recycling abilities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durability (suitable for different environments)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comfort</w:t>
      </w:r>
    </w:p>
    <w:p w:rsidR="00484BCA" w:rsidRDefault="00484BCA" w:rsidP="00484BCA">
      <w:pPr>
        <w:pStyle w:val="ListParagraph"/>
        <w:numPr>
          <w:ilvl w:val="2"/>
          <w:numId w:val="3"/>
        </w:numPr>
      </w:pPr>
      <w:r>
        <w:t>Look at origin of material</w:t>
      </w:r>
    </w:p>
    <w:p w:rsidR="00484BCA" w:rsidRDefault="00484BCA" w:rsidP="00484BCA">
      <w:pPr>
        <w:rPr>
          <w:b/>
          <w:u w:val="single"/>
        </w:rPr>
      </w:pPr>
    </w:p>
    <w:p w:rsidR="00484BCA" w:rsidRDefault="00484BCA" w:rsidP="00484BCA">
      <w:pPr>
        <w:rPr>
          <w:b/>
          <w:u w:val="single"/>
        </w:rPr>
      </w:pPr>
    </w:p>
    <w:p w:rsidR="00484BCA" w:rsidRDefault="00484BCA" w:rsidP="00484BCA">
      <w:pPr>
        <w:rPr>
          <w:b/>
          <w:u w:val="single"/>
        </w:rPr>
      </w:pPr>
    </w:p>
    <w:p w:rsidR="00484BCA" w:rsidRPr="00782310" w:rsidRDefault="00484BCA" w:rsidP="00484BCA">
      <w:pPr>
        <w:rPr>
          <w:b/>
          <w:u w:val="single"/>
        </w:rPr>
      </w:pPr>
      <w:r w:rsidRPr="00782310">
        <w:rPr>
          <w:b/>
          <w:u w:val="single"/>
        </w:rPr>
        <w:lastRenderedPageBreak/>
        <w:t xml:space="preserve">Resource for: </w:t>
      </w:r>
    </w:p>
    <w:p w:rsidR="00484BCA" w:rsidRDefault="00484BCA" w:rsidP="00484BCA">
      <w:pPr>
        <w:rPr>
          <w:b/>
          <w:i/>
        </w:rPr>
      </w:pPr>
      <w:r w:rsidRPr="00744BB7">
        <w:rPr>
          <w:b/>
          <w:i/>
        </w:rPr>
        <w:t>Digital Technologies Processes and Production Skills</w:t>
      </w:r>
    </w:p>
    <w:p w:rsidR="00484BCA" w:rsidRDefault="00484BCA" w:rsidP="00484BCA">
      <w:pPr>
        <w:pStyle w:val="Heading5"/>
        <w:pBdr>
          <w:bottom w:val="single" w:sz="6" w:space="4" w:color="A4BDE5"/>
        </w:pBdr>
        <w:shd w:val="clear" w:color="auto" w:fill="FFFFFF"/>
        <w:spacing w:before="0" w:after="75"/>
        <w:rPr>
          <w:rFonts w:ascii="Helvetica" w:hAnsi="Helvetica" w:cs="Helvetica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Digital Technologies </w:t>
      </w:r>
      <w:r w:rsidRPr="009E2B63">
        <w:rPr>
          <w:rFonts w:ascii="Helvetica" w:hAnsi="Helvetica" w:cs="Helvetica"/>
          <w:i/>
          <w:iCs/>
          <w:color w:val="000000"/>
          <w:sz w:val="24"/>
          <w:szCs w:val="24"/>
          <w:highlight w:val="yellow"/>
        </w:rPr>
        <w:t>Knowledge and Understanding</w:t>
      </w:r>
    </w:p>
    <w:p w:rsidR="00484BCA" w:rsidRDefault="00484BCA" w:rsidP="00484BCA">
      <w:pPr>
        <w:rPr>
          <w:i/>
        </w:rPr>
      </w:pPr>
      <w:r>
        <w:rPr>
          <w:i/>
        </w:rPr>
        <w:t xml:space="preserve"> </w:t>
      </w:r>
      <w:r w:rsidRPr="00782310">
        <w:rPr>
          <w:i/>
        </w:rPr>
        <w:t>ACTDIK008 – Recognise different types of data and explore how same data can be represented in different ways</w:t>
      </w:r>
    </w:p>
    <w:p w:rsidR="00484BCA" w:rsidRDefault="00484BCA" w:rsidP="00484BCA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Recognise different types of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9" w:tooltip="Display the glossary entry for data" w:history="1">
        <w:r>
          <w:rPr>
            <w:rStyle w:val="Hyperlink"/>
            <w:rFonts w:ascii="Helvetica" w:hAnsi="Helvetica" w:cs="Helvetica"/>
            <w:color w:val="767676"/>
            <w:sz w:val="20"/>
            <w:szCs w:val="20"/>
            <w:shd w:val="clear" w:color="auto" w:fill="FFFFFF"/>
          </w:rPr>
          <w:t>data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and explore how the same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0" w:tooltip="Display the glossary entry for data" w:history="1">
        <w:r>
          <w:rPr>
            <w:rStyle w:val="Hyperlink"/>
            <w:rFonts w:ascii="Helvetica" w:hAnsi="Helvetica" w:cs="Helvetica"/>
            <w:color w:val="767676"/>
            <w:sz w:val="20"/>
            <w:szCs w:val="20"/>
            <w:shd w:val="clear" w:color="auto" w:fill="FFFFFF"/>
          </w:rPr>
          <w:t>data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represented in different ways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1" w:tooltip="View additional details of ACTDIK008" w:history="1">
        <w:r>
          <w:rPr>
            <w:rStyle w:val="Hyperlink"/>
            <w:rFonts w:ascii="Helvetica" w:hAnsi="Helvetica" w:cs="Helvetica"/>
            <w:color w:val="767676"/>
            <w:sz w:val="20"/>
            <w:szCs w:val="20"/>
            <w:shd w:val="clear" w:color="auto" w:fill="FFFFFF"/>
          </w:rPr>
          <w:t>(ACTDIK008)</w:t>
        </w:r>
      </w:hyperlink>
    </w:p>
    <w:p w:rsidR="00484BCA" w:rsidRDefault="00484BCA" w:rsidP="00484BCA">
      <w:pPr>
        <w:rPr>
          <w:i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using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table to reorganise information that includes sentences, and/or words, and/or numbers and/or images</w:t>
      </w:r>
    </w:p>
    <w:p w:rsidR="00484BCA" w:rsidRDefault="00484BCA" w:rsidP="00484BCA">
      <w:pPr>
        <w:rPr>
          <w:i/>
        </w:rPr>
      </w:pPr>
      <w:r>
        <w:rPr>
          <w:i/>
        </w:rPr>
        <w:t xml:space="preserve">ACTDIP009 – complementary </w:t>
      </w:r>
    </w:p>
    <w:p w:rsidR="00484BCA" w:rsidRDefault="00484BCA" w:rsidP="00484BCA">
      <w:pPr>
        <w:pStyle w:val="Heading5"/>
        <w:pBdr>
          <w:bottom w:val="single" w:sz="6" w:space="4" w:color="A4BDE5"/>
        </w:pBdr>
        <w:shd w:val="clear" w:color="auto" w:fill="FFFFFF"/>
        <w:spacing w:before="0" w:after="75"/>
        <w:rPr>
          <w:rFonts w:ascii="Helvetica" w:hAnsi="Helvetica" w:cs="Helvetica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Digital Technologies </w:t>
      </w:r>
      <w:r w:rsidRPr="009E2B63">
        <w:rPr>
          <w:rFonts w:ascii="Helvetica" w:hAnsi="Helvetica" w:cs="Helvetica"/>
          <w:i/>
          <w:iCs/>
          <w:color w:val="000000"/>
          <w:sz w:val="24"/>
          <w:szCs w:val="24"/>
          <w:highlight w:val="yellow"/>
        </w:rPr>
        <w:t>Processes and Production Skills</w:t>
      </w:r>
    </w:p>
    <w:p w:rsidR="00484BCA" w:rsidRDefault="00484BCA" w:rsidP="00484BC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Collect, access and present different types of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2" w:tooltip="Display the glossary entry for data" w:history="1">
        <w:r>
          <w:rPr>
            <w:rStyle w:val="Hyperlink"/>
            <w:rFonts w:ascii="Helvetica" w:eastAsiaTheme="majorEastAsia" w:hAnsi="Helvetica" w:cs="Helvetica"/>
            <w:color w:val="767676"/>
            <w:sz w:val="20"/>
            <w:szCs w:val="20"/>
          </w:rPr>
          <w:t>data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using simple software to create information and solve problems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3" w:tooltip="View additional details of ACTDIP009" w:history="1">
        <w:r>
          <w:rPr>
            <w:rStyle w:val="Hyperlink"/>
            <w:rFonts w:ascii="Helvetica" w:eastAsiaTheme="majorEastAsia" w:hAnsi="Helvetica" w:cs="Helvetica"/>
            <w:color w:val="767676"/>
            <w:sz w:val="20"/>
            <w:szCs w:val="20"/>
          </w:rPr>
          <w:t>(ACTDIP009)</w:t>
        </w:r>
      </w:hyperlink>
    </w:p>
    <w:p w:rsidR="00484BCA" w:rsidRDefault="00484BCA" w:rsidP="00484BCA">
      <w:pPr>
        <w:pStyle w:val="ListParagraph"/>
        <w:numPr>
          <w:ilvl w:val="0"/>
          <w:numId w:val="1"/>
        </w:numPr>
        <w:rPr>
          <w:i/>
        </w:rPr>
      </w:pPr>
      <w:r w:rsidRPr="00782310">
        <w:rPr>
          <w:i/>
        </w:rPr>
        <w:t>Use a table to reorganise information that includes sentences, and/or words, and/or numbers and/or ima</w:t>
      </w:r>
      <w:r>
        <w:rPr>
          <w:i/>
        </w:rPr>
        <w:t>g</w:t>
      </w:r>
      <w:r w:rsidRPr="00782310">
        <w:rPr>
          <w:i/>
        </w:rPr>
        <w:t>es</w:t>
      </w:r>
    </w:p>
    <w:p w:rsidR="00484BCA" w:rsidRPr="009E2B63" w:rsidRDefault="00484BCA" w:rsidP="00484BCA">
      <w:pPr>
        <w:ind w:left="360"/>
        <w:rPr>
          <w:i/>
        </w:rPr>
      </w:pPr>
    </w:p>
    <w:p w:rsidR="00484BCA" w:rsidRDefault="00484BCA" w:rsidP="00484BCA">
      <w:pPr>
        <w:pStyle w:val="Heading6"/>
        <w:shd w:val="clear" w:color="auto" w:fill="F3F3F3"/>
        <w:spacing w:before="0" w:after="1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Maths: Data representation and interpretation</w:t>
      </w:r>
    </w:p>
    <w:p w:rsidR="00484BCA" w:rsidRDefault="00484BCA" w:rsidP="00484BC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Select and trial methods for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hyperlink r:id="rId14" w:tooltip="Display the glossary entry for data" w:history="1">
        <w:r>
          <w:rPr>
            <w:rStyle w:val="Hyperlink"/>
            <w:rFonts w:ascii="Helvetica" w:eastAsiaTheme="majorEastAsia" w:hAnsi="Helvetica"/>
            <w:color w:val="767676"/>
            <w:sz w:val="20"/>
            <w:szCs w:val="20"/>
          </w:rPr>
          <w:t>data</w:t>
        </w:r>
      </w:hyperlink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collection, including survey questions and recording </w:t>
      </w:r>
      <w:proofErr w:type="gramStart"/>
      <w:r>
        <w:rPr>
          <w:rFonts w:ascii="Helvetica" w:hAnsi="Helvetica"/>
          <w:color w:val="000000"/>
          <w:sz w:val="20"/>
          <w:szCs w:val="20"/>
        </w:rPr>
        <w:t>sheets</w:t>
      </w:r>
      <w:proofErr w:type="gramEnd"/>
      <w:r>
        <w:fldChar w:fldCharType="begin"/>
      </w:r>
      <w:r>
        <w:instrText xml:space="preserve"> HYPERLINK "http://v7-5.australiancurriculum.edu.au/curriculum/contentdescription/ACMSP095" \o "View additional details of ACMSP095" </w:instrText>
      </w:r>
      <w:r>
        <w:fldChar w:fldCharType="separate"/>
      </w:r>
      <w:r>
        <w:rPr>
          <w:rStyle w:val="Hyperlink"/>
          <w:rFonts w:ascii="Helvetica" w:eastAsiaTheme="majorEastAsia" w:hAnsi="Helvetica"/>
          <w:color w:val="767676"/>
          <w:sz w:val="20"/>
          <w:szCs w:val="20"/>
        </w:rPr>
        <w:t>(ACMSP095)</w:t>
      </w:r>
      <w:r>
        <w:rPr>
          <w:rStyle w:val="Hyperlink"/>
          <w:rFonts w:ascii="Helvetica" w:eastAsiaTheme="majorEastAsia" w:hAnsi="Helvetica"/>
          <w:color w:val="767676"/>
          <w:sz w:val="20"/>
          <w:szCs w:val="20"/>
        </w:rPr>
        <w:fldChar w:fldCharType="end"/>
      </w:r>
    </w:p>
    <w:p w:rsidR="00484BCA" w:rsidRPr="00F230B8" w:rsidRDefault="00484BCA" w:rsidP="00484BCA">
      <w:pPr>
        <w:rPr>
          <w:i/>
        </w:rPr>
      </w:pPr>
    </w:p>
    <w:p w:rsidR="00484BCA" w:rsidRPr="001A667B" w:rsidRDefault="00484BCA" w:rsidP="00484BCA">
      <w:pPr>
        <w:rPr>
          <w:i/>
        </w:rPr>
      </w:pPr>
    </w:p>
    <w:p w:rsidR="00484BCA" w:rsidRPr="001A667B" w:rsidRDefault="00484BCA" w:rsidP="00484BCA">
      <w:pPr>
        <w:pStyle w:val="ListParagraph"/>
        <w:numPr>
          <w:ilvl w:val="0"/>
          <w:numId w:val="1"/>
        </w:numPr>
      </w:pPr>
      <w:r>
        <w:t>The Big Question: WHAT DOES LIFECYCLE OF MATERIALS MEAN?</w:t>
      </w:r>
    </w:p>
    <w:p w:rsidR="00484BCA" w:rsidRDefault="00484BCA" w:rsidP="00484BC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The information from ACTDEP014 (above) will be used for this part for this resource. </w:t>
      </w:r>
    </w:p>
    <w:p w:rsidR="00484BCA" w:rsidRDefault="00484BCA" w:rsidP="00484BCA">
      <w:r>
        <w:t xml:space="preserve">Look at </w:t>
      </w:r>
      <w:proofErr w:type="gramStart"/>
      <w:r>
        <w:t>clip :</w:t>
      </w:r>
      <w:proofErr w:type="gramEnd"/>
      <w:r>
        <w:t xml:space="preserve"> </w:t>
      </w:r>
      <w:hyperlink r:id="rId15" w:history="1">
        <w:r w:rsidRPr="00960B0A">
          <w:rPr>
            <w:rStyle w:val="Hyperlink"/>
          </w:rPr>
          <w:t>https://youtu.be/P9UjmOHC300</w:t>
        </w:r>
      </w:hyperlink>
    </w:p>
    <w:p w:rsidR="00484BCA" w:rsidRDefault="00E9205C" w:rsidP="00484BCA">
      <w:pPr>
        <w:rPr>
          <w:sz w:val="40"/>
          <w:szCs w:val="40"/>
        </w:rPr>
      </w:pPr>
      <w:hyperlink r:id="rId16" w:history="1">
        <w:r w:rsidR="00484BCA" w:rsidRPr="002032A4">
          <w:rPr>
            <w:rStyle w:val="Hyperlink"/>
            <w:sz w:val="40"/>
            <w:szCs w:val="40"/>
          </w:rPr>
          <w:t>http://www.slideshare.net/j_villis/ideas-for-teaching-chance-data-and-interpretation-of-data</w:t>
        </w:r>
      </w:hyperlink>
    </w:p>
    <w:p w:rsidR="00484BCA" w:rsidRPr="00BF4F42" w:rsidRDefault="00484BCA" w:rsidP="00484BCA">
      <w:pPr>
        <w:rPr>
          <w:sz w:val="40"/>
          <w:szCs w:val="40"/>
        </w:rPr>
      </w:pPr>
    </w:p>
    <w:p w:rsidR="00484BCA" w:rsidRDefault="00484BCA" w:rsidP="00484BCA">
      <w:r>
        <w:t xml:space="preserve">Worksheet: </w:t>
      </w:r>
      <w:r>
        <w:rPr>
          <w:noProof/>
          <w:lang w:eastAsia="en-AU"/>
        </w:rPr>
        <w:drawing>
          <wp:inline distT="0" distB="0" distL="0" distR="0" wp14:anchorId="749AE72A" wp14:editId="75A33389">
            <wp:extent cx="5417820" cy="595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CA" w:rsidRDefault="00484BCA" w:rsidP="00484BCA">
      <w:r>
        <w:t>How many items can you find that we can re-use and/or recycle?</w:t>
      </w:r>
    </w:p>
    <w:p w:rsidR="00484BCA" w:rsidRDefault="00484BCA" w:rsidP="00484BCA">
      <w:r>
        <w:t>What is the difference?</w:t>
      </w:r>
    </w:p>
    <w:p w:rsidR="00484BCA" w:rsidRDefault="00484BCA" w:rsidP="00484BCA">
      <w:r>
        <w:t>Collate information found in the classroom</w:t>
      </w:r>
    </w:p>
    <w:p w:rsidR="00484BCA" w:rsidRDefault="00484BCA" w:rsidP="00484BCA">
      <w:r>
        <w:t>Collate information found in the school</w:t>
      </w:r>
    </w:p>
    <w:p w:rsidR="00484BCA" w:rsidRDefault="00484BCA" w:rsidP="00484BCA">
      <w:r>
        <w:t>Collate information found in other classrooms</w:t>
      </w:r>
    </w:p>
    <w:p w:rsidR="00484BCA" w:rsidRDefault="00484BCA" w:rsidP="00484BCA">
      <w:r>
        <w:t>Collate information found in the canteen</w:t>
      </w:r>
    </w:p>
    <w:p w:rsidR="00484BCA" w:rsidRDefault="00484BCA" w:rsidP="00484BCA">
      <w:r>
        <w:t>Collate information found in the library &amp; ICT building</w:t>
      </w:r>
    </w:p>
    <w:p w:rsidR="00484BCA" w:rsidRDefault="00484BCA" w:rsidP="00484BCA">
      <w:r>
        <w:t>Collate information found in the office building</w:t>
      </w:r>
    </w:p>
    <w:p w:rsidR="00484BCA" w:rsidRDefault="00484BCA" w:rsidP="00484BCA">
      <w:r>
        <w:t>Collate information found in the outside grounds of the school</w:t>
      </w:r>
    </w:p>
    <w:p w:rsidR="00484BCA" w:rsidRDefault="00484BCA" w:rsidP="00484BCA">
      <w:r>
        <w:t>Make comparisons</w:t>
      </w:r>
    </w:p>
    <w:p w:rsidR="00484BCA" w:rsidRDefault="00484BCA" w:rsidP="00484BCA">
      <w:r>
        <w:t>How can we improve as a school?</w:t>
      </w:r>
      <w:r w:rsidRPr="00C512F2">
        <w:t xml:space="preserve"> </w:t>
      </w:r>
    </w:p>
    <w:p w:rsidR="00484BCA" w:rsidRDefault="00484BCA" w:rsidP="00484BCA">
      <w:r>
        <w:t>Can we do more? – use shredded paper as compost/ground cover?</w:t>
      </w:r>
    </w:p>
    <w:p w:rsidR="00484BCA" w:rsidRDefault="00484BCA" w:rsidP="00484BCA">
      <w:r>
        <w:t>Let’s look further afield – what are people doing in other countries? Research – Mali (don’t use plastic bags)</w:t>
      </w:r>
    </w:p>
    <w:p w:rsidR="00484BCA" w:rsidRDefault="00E9205C" w:rsidP="00484BCA">
      <w:r>
        <w:t xml:space="preserve"> </w:t>
      </w:r>
    </w:p>
    <w:p w:rsidR="00484BCA" w:rsidRDefault="00E9205C" w:rsidP="00484BCA">
      <w:pPr>
        <w:rPr>
          <w:b/>
          <w:i/>
        </w:rPr>
      </w:pPr>
      <w:r>
        <w:rPr>
          <w:b/>
          <w:i/>
        </w:rPr>
        <w:t xml:space="preserve"> </w:t>
      </w:r>
    </w:p>
    <w:p w:rsidR="00484BCA" w:rsidRDefault="00484BCA" w:rsidP="00484BCA">
      <w:pPr>
        <w:rPr>
          <w:b/>
          <w:i/>
        </w:rPr>
      </w:pPr>
    </w:p>
    <w:p w:rsidR="00484BCA" w:rsidRDefault="00484BCA" w:rsidP="00484BCA">
      <w:pPr>
        <w:rPr>
          <w:b/>
          <w:i/>
        </w:rPr>
      </w:pPr>
    </w:p>
    <w:p w:rsidR="00484BCA" w:rsidRDefault="00484BCA" w:rsidP="00484BCA">
      <w:pPr>
        <w:jc w:val="center"/>
        <w:rPr>
          <w:b/>
        </w:rPr>
      </w:pPr>
      <w:r>
        <w:rPr>
          <w:b/>
        </w:rPr>
        <w:t>References:</w:t>
      </w:r>
    </w:p>
    <w:p w:rsidR="00484BCA" w:rsidRDefault="00E9205C" w:rsidP="00484BCA">
      <w:hyperlink r:id="rId18" w:history="1">
        <w:r w:rsidR="00484BCA" w:rsidRPr="002032A4">
          <w:rPr>
            <w:rStyle w:val="Hyperlink"/>
          </w:rPr>
          <w:t>http://www.australiancurriculumlessons.com.au/2014/08/02/ideas-teaching-chance-data-interpretation-data-unit-work-years-345/</w:t>
        </w:r>
      </w:hyperlink>
    </w:p>
    <w:p w:rsidR="00484BCA" w:rsidRDefault="00484BCA" w:rsidP="00484BCA"/>
    <w:p w:rsidR="00484BCA" w:rsidRDefault="00E9205C" w:rsidP="00484BCA">
      <w:hyperlink r:id="rId19" w:history="1">
        <w:r w:rsidR="00484BCA" w:rsidRPr="002032A4">
          <w:rPr>
            <w:rStyle w:val="Hyperlink"/>
          </w:rPr>
          <w:t>http://www.coolaustralia.org/activity/life-cycle-analysis/</w:t>
        </w:r>
      </w:hyperlink>
    </w:p>
    <w:p w:rsidR="00484BCA" w:rsidRDefault="00484BCA" w:rsidP="00484BCA">
      <w:r>
        <w:t xml:space="preserve">Primary connections </w:t>
      </w:r>
    </w:p>
    <w:p w:rsidR="00484BCA" w:rsidRDefault="00E9205C" w:rsidP="00484BCA">
      <w:hyperlink r:id="rId20" w:history="1">
        <w:r w:rsidR="00484BCA" w:rsidRPr="00960B0A">
          <w:rPr>
            <w:rStyle w:val="Hyperlink"/>
          </w:rPr>
          <w:t>https://youtu.be/P9UjmOHC300</w:t>
        </w:r>
      </w:hyperlink>
    </w:p>
    <w:p w:rsidR="00484BCA" w:rsidRDefault="00E9205C" w:rsidP="00484BCA">
      <w:hyperlink r:id="rId21" w:history="1">
        <w:r w:rsidR="00484BCA" w:rsidRPr="00960B0A">
          <w:rPr>
            <w:rStyle w:val="Hyperlink"/>
          </w:rPr>
          <w:t>https://youtu.be/XAYG_jlybGE</w:t>
        </w:r>
      </w:hyperlink>
    </w:p>
    <w:p w:rsidR="00484BCA" w:rsidRDefault="00E9205C" w:rsidP="00484BCA">
      <w:hyperlink r:id="rId22" w:history="1">
        <w:r w:rsidR="00484BCA" w:rsidRPr="00960B0A">
          <w:rPr>
            <w:rStyle w:val="Hyperlink"/>
          </w:rPr>
          <w:t>https://youtu.be/1bHdzTUNw-4</w:t>
        </w:r>
      </w:hyperlink>
    </w:p>
    <w:p w:rsidR="00484BCA" w:rsidRDefault="00484BCA" w:rsidP="00484BCA">
      <w:r>
        <w:t>Jonathan Baxter – Hands on Maths)</w:t>
      </w:r>
    </w:p>
    <w:p w:rsidR="00484BCA" w:rsidRDefault="00484BCA" w:rsidP="00484BCA">
      <w:r>
        <w:t>ACARA</w:t>
      </w:r>
    </w:p>
    <w:p w:rsidR="00484BCA" w:rsidRPr="008E1E8D" w:rsidRDefault="00E9205C" w:rsidP="00484BCA">
      <w:r>
        <w:t xml:space="preserve"> </w:t>
      </w:r>
      <w:bookmarkStart w:id="0" w:name="_GoBack"/>
      <w:bookmarkEnd w:id="0"/>
    </w:p>
    <w:p w:rsidR="004D507A" w:rsidRDefault="004D507A"/>
    <w:sectPr w:rsidR="004D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EE"/>
    <w:multiLevelType w:val="hybridMultilevel"/>
    <w:tmpl w:val="C4F6AC0C"/>
    <w:lvl w:ilvl="0" w:tplc="B9DEED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325F9"/>
    <w:multiLevelType w:val="hybridMultilevel"/>
    <w:tmpl w:val="EBBAD9A6"/>
    <w:lvl w:ilvl="0" w:tplc="C8BC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4CCB"/>
    <w:multiLevelType w:val="hybridMultilevel"/>
    <w:tmpl w:val="76BA210E"/>
    <w:lvl w:ilvl="0" w:tplc="C8BC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CA"/>
    <w:rsid w:val="00484BCA"/>
    <w:rsid w:val="004D507A"/>
    <w:rsid w:val="006A0E3F"/>
    <w:rsid w:val="00981103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A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B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8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84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B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84BCA"/>
  </w:style>
  <w:style w:type="paragraph" w:styleId="NormalWeb">
    <w:name w:val="Normal (Web)"/>
    <w:basedOn w:val="Normal"/>
    <w:uiPriority w:val="99"/>
    <w:unhideWhenUsed/>
    <w:rsid w:val="0048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A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B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8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84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B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84BCA"/>
  </w:style>
  <w:style w:type="paragraph" w:styleId="NormalWeb">
    <w:name w:val="Normal (Web)"/>
    <w:basedOn w:val="Normal"/>
    <w:uiPriority w:val="99"/>
    <w:unhideWhenUsed/>
    <w:rsid w:val="0048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YG_jlybGE" TargetMode="External"/><Relationship Id="rId13" Type="http://schemas.openxmlformats.org/officeDocument/2006/relationships/hyperlink" Target="http://v7-5.australiancurriculum.edu.au/curriculum/contentdescription/ACTDIP009" TargetMode="External"/><Relationship Id="rId18" Type="http://schemas.openxmlformats.org/officeDocument/2006/relationships/hyperlink" Target="http://www.australiancurriculumlessons.com.au/2014/08/02/ideas-teaching-chance-data-interpretation-data-unit-work-years-34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XAYG_jlybGE" TargetMode="External"/><Relationship Id="rId7" Type="http://schemas.openxmlformats.org/officeDocument/2006/relationships/hyperlink" Target="https://youtu.be/1bHdzTUNw-4" TargetMode="External"/><Relationship Id="rId12" Type="http://schemas.openxmlformats.org/officeDocument/2006/relationships/hyperlink" Target="http://v7-5.australiancurriculum.edu.au/glossary/popup?a=T&amp;t=Data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slideshare.net/j_villis/ideas-for-teaching-chance-data-and-interpretation-of-data" TargetMode="External"/><Relationship Id="rId20" Type="http://schemas.openxmlformats.org/officeDocument/2006/relationships/hyperlink" Target="https://youtu.be/P9UjmOHC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yofstuff.org/movies/story-of-stuff/" TargetMode="External"/><Relationship Id="rId11" Type="http://schemas.openxmlformats.org/officeDocument/2006/relationships/hyperlink" Target="http://v7-5.australiancurriculum.edu.au/curriculum/contentdescription/ACTDIK0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9UjmOHC3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7-5.australiancurriculum.edu.au/glossary/popup?a=T&amp;t=Data" TargetMode="External"/><Relationship Id="rId19" Type="http://schemas.openxmlformats.org/officeDocument/2006/relationships/hyperlink" Target="http://www.coolaustralia.org/activity/life-cycle-analy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7-5.australiancurriculum.edu.au/glossary/popup?a=T&amp;t=Data" TargetMode="External"/><Relationship Id="rId14" Type="http://schemas.openxmlformats.org/officeDocument/2006/relationships/hyperlink" Target="http://v7-5.australiancurriculum.edu.au/glossary/popup?a=M&amp;t=Data" TargetMode="External"/><Relationship Id="rId22" Type="http://schemas.openxmlformats.org/officeDocument/2006/relationships/hyperlink" Target="https://youtu.be/1bHdzTUNw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</cp:revision>
  <dcterms:created xsi:type="dcterms:W3CDTF">2016-06-08T04:06:00Z</dcterms:created>
  <dcterms:modified xsi:type="dcterms:W3CDTF">2016-06-09T10:37:00Z</dcterms:modified>
</cp:coreProperties>
</file>